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57" w:rsidRDefault="008F5C57" w:rsidP="008F5C57">
      <w:pPr>
        <w:rPr>
          <w:b/>
        </w:rPr>
      </w:pPr>
      <w:r>
        <w:rPr>
          <w:b/>
        </w:rPr>
        <w:t>Report of the Audit and Governance Committee - Matters for Information</w:t>
      </w:r>
    </w:p>
    <w:p w:rsidR="008F5C57" w:rsidRDefault="008F5C57" w:rsidP="008F5C57"/>
    <w:p w:rsidR="008F5C57" w:rsidRDefault="008F5C57" w:rsidP="008F5C57">
      <w:r>
        <w:t xml:space="preserve">The following matters were considered by the Audit and Governance Committee at its meeting on </w:t>
      </w:r>
      <w:r w:rsidR="00AA38AE">
        <w:t>28 September</w:t>
      </w:r>
      <w:r>
        <w:t xml:space="preserve"> 2015:</w:t>
      </w:r>
    </w:p>
    <w:p w:rsidR="00E7494E" w:rsidRDefault="00E7494E" w:rsidP="008F5C57"/>
    <w:p w:rsidR="00341AB5" w:rsidRDefault="00341AB5" w:rsidP="00E7494E">
      <w:r w:rsidRPr="00A25F61">
        <w:t>Part I (Open to Press and Public)</w:t>
      </w:r>
    </w:p>
    <w:p w:rsidR="009D4607" w:rsidRPr="00A25F61" w:rsidRDefault="009D4607" w:rsidP="00E7494E"/>
    <w:p w:rsidR="007178AA" w:rsidRDefault="007178AA" w:rsidP="007178AA">
      <w:pPr>
        <w:rPr>
          <w:vanish/>
        </w:rPr>
      </w:pP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675"/>
        <w:gridCol w:w="8085"/>
      </w:tblGrid>
      <w:tr w:rsidR="007178AA" w:rsidTr="007178AA">
        <w:tc>
          <w:tcPr>
            <w:tcW w:w="675" w:type="dxa"/>
            <w:hideMark/>
          </w:tcPr>
          <w:p w:rsidR="007178AA" w:rsidRPr="00924C2E" w:rsidRDefault="00924C2E" w:rsidP="00924C2E">
            <w:pPr>
              <w:ind w:left="-108"/>
              <w:rPr>
                <w:b/>
              </w:rPr>
            </w:pPr>
            <w:r w:rsidRPr="00924C2E">
              <w:rPr>
                <w:b/>
              </w:rPr>
              <w:t>1.</w:t>
            </w:r>
            <w:r w:rsidR="007178AA" w:rsidRPr="00924C2E">
              <w:rPr>
                <w:b/>
              </w:rPr>
              <w:t xml:space="preserve"> </w:t>
            </w:r>
          </w:p>
        </w:tc>
        <w:tc>
          <w:tcPr>
            <w:tcW w:w="8090" w:type="dxa"/>
          </w:tcPr>
          <w:p w:rsidR="007178AA" w:rsidRDefault="007178AA">
            <w:pPr>
              <w:ind w:left="34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8"/>
              </w:rPr>
              <w:t>Update on Treasury Management Activity</w:t>
            </w:r>
          </w:p>
          <w:p w:rsidR="007178AA" w:rsidRDefault="007178AA">
            <w:pPr>
              <w:ind w:left="34"/>
              <w:rPr>
                <w:b/>
              </w:rPr>
            </w:pPr>
          </w:p>
        </w:tc>
      </w:tr>
    </w:tbl>
    <w:p w:rsidR="007178AA" w:rsidRDefault="007178AA" w:rsidP="007178AA">
      <w:pPr>
        <w:rPr>
          <w:rFonts w:cs="Arial"/>
        </w:rPr>
      </w:pPr>
      <w:r>
        <w:t xml:space="preserve">The Committee received an update on the </w:t>
      </w:r>
      <w:r w:rsidR="00924C2E">
        <w:t>C</w:t>
      </w:r>
      <w:r>
        <w:t xml:space="preserve">ounty </w:t>
      </w:r>
      <w:r w:rsidR="00924C2E">
        <w:t>C</w:t>
      </w:r>
      <w:r>
        <w:t>ouncil's treasury management activities during the current financial year to the end of July 2015</w:t>
      </w:r>
      <w:r w:rsidR="00AA38AE">
        <w:t>.</w:t>
      </w:r>
    </w:p>
    <w:p w:rsidR="007178AA" w:rsidRDefault="007178AA" w:rsidP="007178AA">
      <w:pPr>
        <w:tabs>
          <w:tab w:val="left" w:pos="0"/>
        </w:tabs>
        <w:rPr>
          <w:b/>
        </w:rPr>
      </w:pPr>
    </w:p>
    <w:p w:rsidR="007178AA" w:rsidRDefault="007178AA" w:rsidP="007178AA">
      <w:pPr>
        <w:tabs>
          <w:tab w:val="left" w:pos="0"/>
        </w:tabs>
        <w:rPr>
          <w:b/>
        </w:rPr>
      </w:pPr>
      <w:r>
        <w:rPr>
          <w:b/>
        </w:rPr>
        <w:t>Decision Taken</w:t>
      </w:r>
    </w:p>
    <w:p w:rsidR="007178AA" w:rsidRDefault="007178AA" w:rsidP="007178AA">
      <w:pPr>
        <w:tabs>
          <w:tab w:val="left" w:pos="0"/>
        </w:tabs>
        <w:rPr>
          <w:b/>
        </w:rPr>
      </w:pPr>
    </w:p>
    <w:p w:rsidR="007178AA" w:rsidRDefault="007178AA" w:rsidP="007178AA">
      <w:pPr>
        <w:tabs>
          <w:tab w:val="left" w:pos="0"/>
        </w:tabs>
      </w:pPr>
      <w:r w:rsidRPr="007178AA">
        <w:t>The Committee noted</w:t>
      </w:r>
      <w:r>
        <w:rPr>
          <w:b/>
        </w:rPr>
        <w:t xml:space="preserve"> </w:t>
      </w:r>
      <w:r>
        <w:t xml:space="preserve">the review of treasury management activities for the period 1 April to 31 July 2015. </w:t>
      </w:r>
    </w:p>
    <w:p w:rsidR="007178AA" w:rsidRDefault="007178AA" w:rsidP="007178AA">
      <w:pPr>
        <w:rPr>
          <w:rFonts w:cs="Arial"/>
        </w:rPr>
      </w:pP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675"/>
        <w:gridCol w:w="8085"/>
      </w:tblGrid>
      <w:tr w:rsidR="007178AA" w:rsidTr="007178AA">
        <w:tc>
          <w:tcPr>
            <w:tcW w:w="675" w:type="dxa"/>
            <w:hideMark/>
          </w:tcPr>
          <w:p w:rsidR="007178AA" w:rsidRPr="00924C2E" w:rsidRDefault="00924C2E" w:rsidP="00924C2E">
            <w:pPr>
              <w:ind w:left="-108"/>
              <w:rPr>
                <w:b/>
              </w:rPr>
            </w:pPr>
            <w:r w:rsidRPr="00924C2E">
              <w:rPr>
                <w:b/>
              </w:rPr>
              <w:t>2.</w:t>
            </w:r>
          </w:p>
        </w:tc>
        <w:tc>
          <w:tcPr>
            <w:tcW w:w="8085" w:type="dxa"/>
          </w:tcPr>
          <w:p w:rsidR="007178AA" w:rsidRDefault="007178AA">
            <w:pPr>
              <w:ind w:left="34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8"/>
              </w:rPr>
              <w:t>Updated Annual Governance Statement</w:t>
            </w:r>
          </w:p>
          <w:p w:rsidR="007178AA" w:rsidRDefault="007178AA">
            <w:pPr>
              <w:ind w:left="34"/>
              <w:rPr>
                <w:b/>
              </w:rPr>
            </w:pPr>
          </w:p>
        </w:tc>
      </w:tr>
    </w:tbl>
    <w:p w:rsidR="007178AA" w:rsidRDefault="007178AA" w:rsidP="007178AA">
      <w:r>
        <w:t>The Committee received an update in relation to the Annual Governance Statement.  T</w:t>
      </w:r>
      <w:r>
        <w:rPr>
          <w:rFonts w:eastAsia="Arial" w:cs="Arial"/>
        </w:rPr>
        <w:t xml:space="preserve">he report identified a number of key issues and themes that had emerged during 2014/15 and which would continue to feature in 2015/16. </w:t>
      </w:r>
      <w:r>
        <w:t>The report also provided the Committee with an update in relation to those issues which were also relevant to the External Auditor's Value for Money (</w:t>
      </w:r>
      <w:proofErr w:type="spellStart"/>
      <w:r>
        <w:t>VfM</w:t>
      </w:r>
      <w:proofErr w:type="spellEnd"/>
      <w:r>
        <w:t>) conclusion contained within the Audit Findings Report elsewhere on the agenda.</w:t>
      </w:r>
    </w:p>
    <w:p w:rsidR="007178AA" w:rsidRDefault="007178AA" w:rsidP="007178AA"/>
    <w:p w:rsidR="007178AA" w:rsidRDefault="007178AA" w:rsidP="007178AA">
      <w:pPr>
        <w:rPr>
          <w:b/>
        </w:rPr>
      </w:pPr>
      <w:r>
        <w:rPr>
          <w:b/>
        </w:rPr>
        <w:t>Decision Taken</w:t>
      </w:r>
    </w:p>
    <w:p w:rsidR="007178AA" w:rsidRDefault="007178AA" w:rsidP="007178AA">
      <w:pPr>
        <w:rPr>
          <w:b/>
        </w:rPr>
      </w:pPr>
    </w:p>
    <w:p w:rsidR="007178AA" w:rsidRPr="007178AA" w:rsidRDefault="007178AA" w:rsidP="007178AA">
      <w:r>
        <w:t xml:space="preserve">The Committee: </w:t>
      </w:r>
    </w:p>
    <w:p w:rsidR="007178AA" w:rsidRDefault="007178AA" w:rsidP="007178AA">
      <w:pPr>
        <w:rPr>
          <w:b/>
        </w:rPr>
      </w:pPr>
    </w:p>
    <w:p w:rsidR="007178AA" w:rsidRDefault="007178AA" w:rsidP="007178AA">
      <w:pPr>
        <w:pStyle w:val="ListParagraph"/>
        <w:numPr>
          <w:ilvl w:val="0"/>
          <w:numId w:val="27"/>
        </w:numPr>
        <w:ind w:left="567" w:hanging="567"/>
        <w:jc w:val="left"/>
        <w:rPr>
          <w:rFonts w:eastAsia="Arial" w:cs="Arial"/>
        </w:rPr>
      </w:pPr>
      <w:r>
        <w:rPr>
          <w:rFonts w:eastAsia="Arial" w:cs="Arial"/>
        </w:rPr>
        <w:t>Noted the report</w:t>
      </w:r>
      <w:r w:rsidR="002F3387">
        <w:rPr>
          <w:rFonts w:eastAsia="Arial" w:cs="Arial"/>
        </w:rPr>
        <w:t>,</w:t>
      </w:r>
      <w:r>
        <w:rPr>
          <w:rFonts w:eastAsia="Arial" w:cs="Arial"/>
        </w:rPr>
        <w:t xml:space="preserve"> including the proposals in relation to the approval of a revised Internal Audit Plan for the remainder of 2015/16 and the Internal Audit Plan for 2016/17.</w:t>
      </w:r>
    </w:p>
    <w:p w:rsidR="007178AA" w:rsidRDefault="007178AA" w:rsidP="007178AA">
      <w:pPr>
        <w:rPr>
          <w:rFonts w:eastAsia="Arial" w:cs="Arial"/>
        </w:rPr>
      </w:pPr>
    </w:p>
    <w:p w:rsidR="007178AA" w:rsidRDefault="007178AA" w:rsidP="007178AA">
      <w:pPr>
        <w:pStyle w:val="ListParagraph"/>
        <w:numPr>
          <w:ilvl w:val="0"/>
          <w:numId w:val="27"/>
        </w:numPr>
        <w:ind w:left="567" w:hanging="567"/>
        <w:jc w:val="left"/>
        <w:rPr>
          <w:rFonts w:eastAsia="Arial" w:cs="Arial"/>
        </w:rPr>
      </w:pPr>
      <w:r>
        <w:rPr>
          <w:rFonts w:eastAsia="Arial" w:cs="Arial"/>
        </w:rPr>
        <w:t xml:space="preserve">Expressed concern about the possibility of the Internal Audit Service not being able to carry out and fulfil its functions due to the Council's budgetary constraints. </w:t>
      </w:r>
    </w:p>
    <w:p w:rsidR="007178AA" w:rsidRDefault="007178AA" w:rsidP="007178AA">
      <w:pPr>
        <w:rPr>
          <w:rFonts w:eastAsia="Arial" w:cs="Arial"/>
        </w:rPr>
      </w:pPr>
    </w:p>
    <w:p w:rsidR="007178AA" w:rsidRDefault="002F3387" w:rsidP="007178AA">
      <w:pPr>
        <w:pStyle w:val="ListParagraph"/>
        <w:numPr>
          <w:ilvl w:val="0"/>
          <w:numId w:val="27"/>
        </w:numPr>
        <w:ind w:left="567" w:hanging="567"/>
        <w:jc w:val="left"/>
      </w:pPr>
      <w:r>
        <w:t xml:space="preserve">Noted </w:t>
      </w:r>
      <w:r w:rsidR="007178AA">
        <w:t>the proposed training session for members of the Committee on 25 January 2016.</w:t>
      </w:r>
    </w:p>
    <w:p w:rsidR="009D4607" w:rsidRDefault="009D4607" w:rsidP="009D4607">
      <w:pPr>
        <w:pStyle w:val="ListParagraph"/>
      </w:pPr>
    </w:p>
    <w:p w:rsidR="009D4607" w:rsidRDefault="009D4607" w:rsidP="009D4607">
      <w:pPr>
        <w:pStyle w:val="ListParagraph"/>
        <w:ind w:left="567"/>
        <w:jc w:val="left"/>
      </w:pPr>
    </w:p>
    <w:p w:rsidR="00924C2E" w:rsidRDefault="00924C2E" w:rsidP="007178AA">
      <w:pPr>
        <w:rPr>
          <w:vanish/>
        </w:rPr>
      </w:pP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675"/>
        <w:gridCol w:w="8085"/>
      </w:tblGrid>
      <w:tr w:rsidR="007178AA" w:rsidTr="007178AA">
        <w:tc>
          <w:tcPr>
            <w:tcW w:w="675" w:type="dxa"/>
            <w:hideMark/>
          </w:tcPr>
          <w:p w:rsidR="007178AA" w:rsidRPr="00FD654C" w:rsidRDefault="00FD654C" w:rsidP="00FD654C">
            <w:pPr>
              <w:ind w:left="-108"/>
              <w:rPr>
                <w:b/>
              </w:rPr>
            </w:pPr>
            <w:r w:rsidRPr="00FD654C">
              <w:rPr>
                <w:b/>
              </w:rPr>
              <w:t>3.</w:t>
            </w:r>
            <w:r w:rsidR="007178AA" w:rsidRPr="00FD654C">
              <w:rPr>
                <w:b/>
              </w:rPr>
              <w:t xml:space="preserve"> </w:t>
            </w:r>
          </w:p>
        </w:tc>
        <w:tc>
          <w:tcPr>
            <w:tcW w:w="8090" w:type="dxa"/>
          </w:tcPr>
          <w:p w:rsidR="007178AA" w:rsidRDefault="007178AA">
            <w:pPr>
              <w:ind w:left="34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8"/>
              </w:rPr>
              <w:t>Approval of the County Council’s and County Pension Fund's Letter of Representation 2014</w:t>
            </w:r>
            <w:r w:rsidR="007E4D50">
              <w:rPr>
                <w:rFonts w:cs="Arial"/>
                <w:b/>
                <w:szCs w:val="28"/>
              </w:rPr>
              <w:t>/</w:t>
            </w:r>
            <w:r>
              <w:rPr>
                <w:rFonts w:cs="Arial"/>
                <w:b/>
                <w:szCs w:val="28"/>
              </w:rPr>
              <w:t>15</w:t>
            </w:r>
          </w:p>
          <w:p w:rsidR="007178AA" w:rsidRDefault="007178AA">
            <w:pPr>
              <w:ind w:left="34"/>
              <w:rPr>
                <w:b/>
              </w:rPr>
            </w:pPr>
          </w:p>
        </w:tc>
      </w:tr>
    </w:tbl>
    <w:p w:rsidR="007178AA" w:rsidRDefault="007178AA" w:rsidP="007178AA">
      <w:pPr>
        <w:rPr>
          <w:rFonts w:cs="Arial"/>
        </w:rPr>
      </w:pPr>
      <w:r>
        <w:rPr>
          <w:rFonts w:cs="Arial"/>
        </w:rPr>
        <w:t>The Committee considered a report on the County Council's Management Representation Letter and that for the Lancashire County Pension Fund</w:t>
      </w:r>
      <w:r w:rsidR="00924C2E">
        <w:rPr>
          <w:rFonts w:cs="Arial"/>
        </w:rPr>
        <w:t>.</w:t>
      </w:r>
    </w:p>
    <w:p w:rsidR="007178AA" w:rsidRDefault="007178AA" w:rsidP="007178AA">
      <w:pPr>
        <w:spacing w:before="120" w:after="120"/>
        <w:rPr>
          <w:rFonts w:cs="Arial"/>
        </w:rPr>
      </w:pPr>
      <w:r>
        <w:rPr>
          <w:rFonts w:cs="Arial"/>
        </w:rPr>
        <w:lastRenderedPageBreak/>
        <w:t xml:space="preserve">The </w:t>
      </w:r>
      <w:r w:rsidR="00924C2E">
        <w:rPr>
          <w:rFonts w:cs="Arial"/>
        </w:rPr>
        <w:t>C</w:t>
      </w:r>
      <w:r>
        <w:rPr>
          <w:rFonts w:cs="Arial"/>
        </w:rPr>
        <w:t>ommittee was informed that the Management Representation Letters should be made available to the external auditors (as part of the audit evidence) before the audit report was issued.</w:t>
      </w:r>
    </w:p>
    <w:p w:rsidR="00924C2E" w:rsidRDefault="00924C2E" w:rsidP="007178AA">
      <w:pPr>
        <w:rPr>
          <w:rFonts w:cs="Arial"/>
          <w:b/>
        </w:rPr>
      </w:pPr>
      <w:r>
        <w:rPr>
          <w:rFonts w:cs="Arial"/>
          <w:b/>
        </w:rPr>
        <w:t>Decision Taken</w:t>
      </w:r>
    </w:p>
    <w:p w:rsidR="00924C2E" w:rsidRDefault="00924C2E" w:rsidP="007178AA">
      <w:pPr>
        <w:rPr>
          <w:rFonts w:cs="Arial"/>
          <w:b/>
        </w:rPr>
      </w:pPr>
    </w:p>
    <w:p w:rsidR="007178AA" w:rsidRDefault="00924C2E" w:rsidP="007178AA">
      <w:pPr>
        <w:rPr>
          <w:rFonts w:cs="Arial"/>
        </w:rPr>
      </w:pPr>
      <w:r w:rsidRPr="00924C2E">
        <w:rPr>
          <w:rFonts w:cs="Arial"/>
        </w:rPr>
        <w:t>The Committee approved</w:t>
      </w:r>
      <w:r>
        <w:rPr>
          <w:rFonts w:cs="Arial"/>
          <w:b/>
        </w:rPr>
        <w:t xml:space="preserve"> </w:t>
      </w:r>
      <w:r w:rsidR="007178AA">
        <w:rPr>
          <w:rFonts w:cs="Arial"/>
        </w:rPr>
        <w:t>the management representation letters, as set out at Appendices 'A' and 'B', to the report</w:t>
      </w:r>
      <w:r w:rsidR="002F3387">
        <w:rPr>
          <w:rFonts w:cs="Arial"/>
        </w:rPr>
        <w:t xml:space="preserve"> presented</w:t>
      </w:r>
      <w:r w:rsidR="007178AA">
        <w:rPr>
          <w:rFonts w:cs="Arial"/>
        </w:rPr>
        <w:t>.</w:t>
      </w:r>
    </w:p>
    <w:p w:rsidR="007178AA" w:rsidRDefault="007178AA" w:rsidP="007178AA"/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675"/>
        <w:gridCol w:w="8085"/>
      </w:tblGrid>
      <w:tr w:rsidR="007178AA" w:rsidTr="00924C2E">
        <w:tc>
          <w:tcPr>
            <w:tcW w:w="675" w:type="dxa"/>
            <w:hideMark/>
          </w:tcPr>
          <w:p w:rsidR="007178AA" w:rsidRPr="00FD654C" w:rsidRDefault="00FD654C" w:rsidP="00FD654C">
            <w:pPr>
              <w:ind w:left="-108"/>
              <w:rPr>
                <w:b/>
              </w:rPr>
            </w:pPr>
            <w:r>
              <w:rPr>
                <w:b/>
              </w:rPr>
              <w:t>4</w:t>
            </w:r>
            <w:r w:rsidRPr="00FD654C">
              <w:rPr>
                <w:b/>
              </w:rPr>
              <w:t>.</w:t>
            </w:r>
            <w:r w:rsidR="007178AA" w:rsidRPr="00FD654C">
              <w:rPr>
                <w:b/>
              </w:rPr>
              <w:t xml:space="preserve"> </w:t>
            </w:r>
          </w:p>
        </w:tc>
        <w:tc>
          <w:tcPr>
            <w:tcW w:w="8085" w:type="dxa"/>
          </w:tcPr>
          <w:p w:rsidR="007178AA" w:rsidRDefault="007178AA">
            <w:pPr>
              <w:ind w:left="34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8"/>
              </w:rPr>
              <w:t>Approval of the County Council’s Statement of Accounts 2014/15</w:t>
            </w:r>
          </w:p>
          <w:p w:rsidR="007178AA" w:rsidRDefault="007178AA">
            <w:pPr>
              <w:ind w:left="34"/>
              <w:rPr>
                <w:b/>
              </w:rPr>
            </w:pPr>
          </w:p>
        </w:tc>
      </w:tr>
    </w:tbl>
    <w:p w:rsidR="007178AA" w:rsidRDefault="007E4D50" w:rsidP="007178AA">
      <w:pPr>
        <w:rPr>
          <w:rFonts w:cs="Arial"/>
        </w:rPr>
      </w:pPr>
      <w:r>
        <w:rPr>
          <w:rFonts w:cs="Arial"/>
        </w:rPr>
        <w:t xml:space="preserve">The Committee </w:t>
      </w:r>
      <w:r w:rsidR="00FD654C">
        <w:rPr>
          <w:rFonts w:cs="Arial"/>
        </w:rPr>
        <w:t xml:space="preserve">received </w:t>
      </w:r>
      <w:r>
        <w:rPr>
          <w:rFonts w:cs="Arial"/>
        </w:rPr>
        <w:t xml:space="preserve">the County Council's Statement of Accounts for 2014/15.  A summary of the </w:t>
      </w:r>
      <w:r w:rsidR="007178AA">
        <w:rPr>
          <w:rFonts w:cs="Arial"/>
        </w:rPr>
        <w:t xml:space="preserve">preparation </w:t>
      </w:r>
      <w:r w:rsidR="00FD654C">
        <w:rPr>
          <w:rFonts w:cs="Arial"/>
        </w:rPr>
        <w:t xml:space="preserve">process </w:t>
      </w:r>
      <w:r w:rsidR="007178AA">
        <w:rPr>
          <w:rFonts w:cs="Arial"/>
        </w:rPr>
        <w:t xml:space="preserve">and the main points of the Statement of Accounts </w:t>
      </w:r>
      <w:r w:rsidR="00FD654C">
        <w:rPr>
          <w:rFonts w:cs="Arial"/>
        </w:rPr>
        <w:t>was presented</w:t>
      </w:r>
      <w:r w:rsidR="007178AA">
        <w:rPr>
          <w:rFonts w:cs="Arial"/>
        </w:rPr>
        <w:t>.</w:t>
      </w:r>
    </w:p>
    <w:p w:rsidR="007178AA" w:rsidRDefault="007178AA" w:rsidP="007178AA">
      <w:pPr>
        <w:pStyle w:val="BodyTextIndent"/>
        <w:ind w:left="0" w:firstLine="0"/>
        <w:rPr>
          <w:color w:val="000000"/>
        </w:rPr>
      </w:pPr>
    </w:p>
    <w:p w:rsidR="00FD654C" w:rsidRDefault="00FD654C" w:rsidP="00FD654C">
      <w:pPr>
        <w:rPr>
          <w:rFonts w:cs="Arial"/>
          <w:b/>
        </w:rPr>
      </w:pPr>
      <w:r>
        <w:rPr>
          <w:rFonts w:cs="Arial"/>
          <w:b/>
        </w:rPr>
        <w:t>Decision Taken</w:t>
      </w:r>
    </w:p>
    <w:p w:rsidR="00FD654C" w:rsidRDefault="00FD654C" w:rsidP="00FD654C">
      <w:pPr>
        <w:rPr>
          <w:rFonts w:cs="Arial"/>
          <w:b/>
        </w:rPr>
      </w:pPr>
    </w:p>
    <w:p w:rsidR="007178AA" w:rsidRDefault="007178AA" w:rsidP="007178AA">
      <w:r>
        <w:t>Th</w:t>
      </w:r>
      <w:r w:rsidR="00FD654C">
        <w:t xml:space="preserve">e Committee approved the </w:t>
      </w:r>
      <w:r>
        <w:t>County Council</w:t>
      </w:r>
      <w:r w:rsidR="00FD654C">
        <w:t>'s</w:t>
      </w:r>
      <w:r>
        <w:t xml:space="preserve"> Statement of Accounts for 2014/15 and </w:t>
      </w:r>
      <w:r w:rsidR="00FD654C">
        <w:t xml:space="preserve">agreed that the Statement be </w:t>
      </w:r>
      <w:r>
        <w:t xml:space="preserve">signed by the Chair of the Committee. </w:t>
      </w:r>
    </w:p>
    <w:p w:rsidR="007178AA" w:rsidRDefault="007178AA" w:rsidP="007178AA"/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675"/>
        <w:gridCol w:w="8085"/>
      </w:tblGrid>
      <w:tr w:rsidR="007178AA" w:rsidTr="00924C2E">
        <w:tc>
          <w:tcPr>
            <w:tcW w:w="675" w:type="dxa"/>
            <w:hideMark/>
          </w:tcPr>
          <w:p w:rsidR="007178AA" w:rsidRPr="00FD654C" w:rsidRDefault="00FD654C" w:rsidP="00FD654C">
            <w:pPr>
              <w:ind w:left="-108"/>
              <w:rPr>
                <w:b/>
              </w:rPr>
            </w:pPr>
            <w:r w:rsidRPr="00FD654C">
              <w:rPr>
                <w:b/>
              </w:rPr>
              <w:t>5.</w:t>
            </w:r>
          </w:p>
        </w:tc>
        <w:tc>
          <w:tcPr>
            <w:tcW w:w="8085" w:type="dxa"/>
          </w:tcPr>
          <w:p w:rsidR="007178AA" w:rsidRDefault="007178AA">
            <w:pPr>
              <w:ind w:left="34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8"/>
              </w:rPr>
              <w:t>External Audit - Lancashire County Council - Audit Findings Report 2014/15</w:t>
            </w:r>
          </w:p>
          <w:p w:rsidR="007178AA" w:rsidRDefault="007178AA">
            <w:pPr>
              <w:ind w:left="34"/>
              <w:rPr>
                <w:b/>
              </w:rPr>
            </w:pPr>
          </w:p>
        </w:tc>
      </w:tr>
    </w:tbl>
    <w:p w:rsidR="007178AA" w:rsidRDefault="00853796" w:rsidP="00FD654C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The Committee considered a report on </w:t>
      </w:r>
      <w:r w:rsidR="007178AA">
        <w:rPr>
          <w:rFonts w:cs="Arial"/>
          <w:iCs/>
          <w:color w:val="000000"/>
        </w:rPr>
        <w:t xml:space="preserve">the overall </w:t>
      </w:r>
      <w:r>
        <w:rPr>
          <w:rFonts w:cs="Arial"/>
          <w:iCs/>
          <w:color w:val="000000"/>
        </w:rPr>
        <w:t xml:space="preserve">audit </w:t>
      </w:r>
      <w:r w:rsidR="007178AA">
        <w:rPr>
          <w:rFonts w:cs="Arial"/>
          <w:iCs/>
          <w:color w:val="000000"/>
        </w:rPr>
        <w:t xml:space="preserve">findings </w:t>
      </w:r>
      <w:r>
        <w:rPr>
          <w:rFonts w:cs="Arial"/>
          <w:iCs/>
          <w:color w:val="000000"/>
        </w:rPr>
        <w:t xml:space="preserve">in relation to </w:t>
      </w:r>
      <w:r w:rsidR="007178AA">
        <w:rPr>
          <w:rFonts w:cs="Arial"/>
          <w:iCs/>
          <w:color w:val="000000"/>
        </w:rPr>
        <w:t xml:space="preserve">the accounts for Lancashire County Council, the proposed opinion on those accounts and the Value for Money conclusion.  </w:t>
      </w:r>
    </w:p>
    <w:p w:rsidR="007178AA" w:rsidRDefault="007178AA" w:rsidP="007178AA"/>
    <w:p w:rsidR="007178AA" w:rsidRDefault="00FD654C" w:rsidP="007178AA">
      <w:r>
        <w:rPr>
          <w:b/>
        </w:rPr>
        <w:t>Decision Taken</w:t>
      </w:r>
    </w:p>
    <w:p w:rsidR="007178AA" w:rsidRDefault="007178AA" w:rsidP="007178AA">
      <w:pPr>
        <w:rPr>
          <w:b/>
        </w:rPr>
      </w:pPr>
    </w:p>
    <w:p w:rsidR="00FD654C" w:rsidRPr="00FD654C" w:rsidRDefault="00FD654C" w:rsidP="007178AA">
      <w:pPr>
        <w:rPr>
          <w:b/>
        </w:rPr>
      </w:pPr>
      <w:r w:rsidRPr="00FD654C">
        <w:t>The Committee</w:t>
      </w:r>
      <w:r>
        <w:t xml:space="preserve"> noted</w:t>
      </w:r>
      <w:r>
        <w:rPr>
          <w:b/>
        </w:rPr>
        <w:t>:</w:t>
      </w:r>
      <w:r w:rsidRPr="00FD654C">
        <w:rPr>
          <w:b/>
        </w:rPr>
        <w:t xml:space="preserve"> </w:t>
      </w:r>
    </w:p>
    <w:p w:rsidR="00FD654C" w:rsidRDefault="00FD654C" w:rsidP="007178AA">
      <w:pPr>
        <w:rPr>
          <w:b/>
        </w:rPr>
      </w:pPr>
    </w:p>
    <w:p w:rsidR="007178AA" w:rsidRDefault="007178AA" w:rsidP="007178AA">
      <w:pPr>
        <w:ind w:left="567" w:hanging="567"/>
      </w:pPr>
      <w:r>
        <w:t>(</w:t>
      </w:r>
      <w:proofErr w:type="spellStart"/>
      <w:r>
        <w:t>i</w:t>
      </w:r>
      <w:proofErr w:type="spellEnd"/>
      <w:r>
        <w:t>)</w:t>
      </w:r>
      <w:r>
        <w:rPr>
          <w:b/>
        </w:rPr>
        <w:tab/>
      </w:r>
      <w:proofErr w:type="gramStart"/>
      <w:r>
        <w:t>the</w:t>
      </w:r>
      <w:proofErr w:type="gramEnd"/>
      <w:r>
        <w:t xml:space="preserve"> external audit findings report covering the audit of the County Council for year ended 31 March 2015.</w:t>
      </w:r>
    </w:p>
    <w:p w:rsidR="007178AA" w:rsidRDefault="007178AA" w:rsidP="007178AA"/>
    <w:p w:rsidR="007178AA" w:rsidRDefault="007178AA" w:rsidP="007178AA">
      <w:pPr>
        <w:pStyle w:val="ListParagraph"/>
        <w:numPr>
          <w:ilvl w:val="0"/>
          <w:numId w:val="32"/>
        </w:numPr>
        <w:ind w:left="567" w:hanging="567"/>
        <w:jc w:val="left"/>
      </w:pPr>
      <w:proofErr w:type="gramStart"/>
      <w:r>
        <w:t>the</w:t>
      </w:r>
      <w:proofErr w:type="gramEnd"/>
      <w:r>
        <w:t xml:space="preserve"> adjustments to the financial statements and other issues raised by the external auditor, as set out in the report</w:t>
      </w:r>
      <w:r w:rsidR="00853796">
        <w:t xml:space="preserve"> presented</w:t>
      </w:r>
      <w:r w:rsidR="00FD654C">
        <w:t>.</w:t>
      </w:r>
    </w:p>
    <w:p w:rsidR="00B74D2F" w:rsidRDefault="00B74D2F" w:rsidP="00B74D2F">
      <w:pPr>
        <w:pStyle w:val="ListParagraph"/>
        <w:ind w:left="567"/>
        <w:jc w:val="left"/>
      </w:pPr>
      <w:bookmarkStart w:id="0" w:name="_GoBack"/>
      <w:bookmarkEnd w:id="0"/>
    </w:p>
    <w:p w:rsidR="007178AA" w:rsidRDefault="007178AA" w:rsidP="007178AA">
      <w:pPr>
        <w:rPr>
          <w:vanish/>
        </w:rPr>
      </w:pP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675"/>
        <w:gridCol w:w="8085"/>
      </w:tblGrid>
      <w:tr w:rsidR="007178AA" w:rsidTr="007178AA">
        <w:tc>
          <w:tcPr>
            <w:tcW w:w="675" w:type="dxa"/>
            <w:hideMark/>
          </w:tcPr>
          <w:p w:rsidR="007178AA" w:rsidRPr="00FD654C" w:rsidRDefault="00FD654C" w:rsidP="00FD654C">
            <w:pPr>
              <w:ind w:left="-108"/>
              <w:rPr>
                <w:b/>
              </w:rPr>
            </w:pPr>
            <w:r w:rsidRPr="00FD654C">
              <w:rPr>
                <w:b/>
              </w:rPr>
              <w:t>6.</w:t>
            </w:r>
            <w:r w:rsidR="007178AA" w:rsidRPr="00FD654C">
              <w:rPr>
                <w:b/>
              </w:rPr>
              <w:t xml:space="preserve"> </w:t>
            </w:r>
          </w:p>
        </w:tc>
        <w:tc>
          <w:tcPr>
            <w:tcW w:w="8090" w:type="dxa"/>
          </w:tcPr>
          <w:p w:rsidR="007178AA" w:rsidRDefault="007178AA">
            <w:pPr>
              <w:ind w:left="34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8"/>
              </w:rPr>
              <w:t>Approval of the Lancashire County Pension Fund's Statement of Accounts 2014/15</w:t>
            </w:r>
          </w:p>
          <w:p w:rsidR="007178AA" w:rsidRDefault="007178AA">
            <w:pPr>
              <w:ind w:left="34"/>
              <w:rPr>
                <w:b/>
              </w:rPr>
            </w:pPr>
          </w:p>
        </w:tc>
      </w:tr>
    </w:tbl>
    <w:p w:rsidR="007178AA" w:rsidRDefault="007178AA" w:rsidP="007178AA">
      <w:r>
        <w:t xml:space="preserve">The Committee </w:t>
      </w:r>
      <w:r w:rsidR="00561B70">
        <w:t xml:space="preserve">received </w:t>
      </w:r>
      <w:r>
        <w:t>the Lancashire County Pension Fund’s</w:t>
      </w:r>
      <w:r>
        <w:rPr>
          <w:b/>
        </w:rPr>
        <w:t xml:space="preserve"> </w:t>
      </w:r>
      <w:r>
        <w:t>Statement of Accounts for 2014/15</w:t>
      </w:r>
      <w:r w:rsidR="00561B70">
        <w:t>.</w:t>
      </w:r>
    </w:p>
    <w:p w:rsidR="007178AA" w:rsidRDefault="007178AA" w:rsidP="007178AA"/>
    <w:p w:rsidR="00561B70" w:rsidRDefault="00561B70" w:rsidP="007178AA">
      <w:pPr>
        <w:rPr>
          <w:b/>
        </w:rPr>
      </w:pPr>
      <w:r>
        <w:rPr>
          <w:b/>
        </w:rPr>
        <w:t>Decision Taken</w:t>
      </w:r>
    </w:p>
    <w:p w:rsidR="00561B70" w:rsidRDefault="00561B70" w:rsidP="007178AA"/>
    <w:p w:rsidR="007178AA" w:rsidRDefault="007178AA" w:rsidP="007178AA">
      <w:r>
        <w:t>Th</w:t>
      </w:r>
      <w:r w:rsidR="00561B70">
        <w:t xml:space="preserve">e Committee approved </w:t>
      </w:r>
      <w:r>
        <w:t xml:space="preserve">the Lancashire County Pension Fund's Statement of Accounts for 2014/15 and </w:t>
      </w:r>
      <w:r w:rsidR="00561B70">
        <w:t xml:space="preserve">agreed that the Statement be </w:t>
      </w:r>
      <w:r>
        <w:t>signed by the Chair of the Committee.</w:t>
      </w:r>
    </w:p>
    <w:p w:rsidR="007178AA" w:rsidRDefault="007178AA" w:rsidP="007178AA"/>
    <w:p w:rsidR="009D4607" w:rsidRDefault="009D4607" w:rsidP="007178AA"/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675"/>
        <w:gridCol w:w="8085"/>
      </w:tblGrid>
      <w:tr w:rsidR="007178AA" w:rsidTr="00561B70">
        <w:tc>
          <w:tcPr>
            <w:tcW w:w="675" w:type="dxa"/>
            <w:hideMark/>
          </w:tcPr>
          <w:p w:rsidR="007178AA" w:rsidRPr="00561B70" w:rsidRDefault="00561B70" w:rsidP="00561B70">
            <w:pPr>
              <w:ind w:left="-108"/>
              <w:rPr>
                <w:b/>
              </w:rPr>
            </w:pPr>
            <w:r w:rsidRPr="00561B70">
              <w:rPr>
                <w:b/>
              </w:rPr>
              <w:lastRenderedPageBreak/>
              <w:t>7.</w:t>
            </w:r>
            <w:r w:rsidR="007178AA" w:rsidRPr="00561B70">
              <w:rPr>
                <w:b/>
              </w:rPr>
              <w:t xml:space="preserve"> </w:t>
            </w:r>
          </w:p>
        </w:tc>
        <w:tc>
          <w:tcPr>
            <w:tcW w:w="8085" w:type="dxa"/>
          </w:tcPr>
          <w:p w:rsidR="007178AA" w:rsidRDefault="007178AA">
            <w:pPr>
              <w:ind w:left="34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8"/>
              </w:rPr>
              <w:t>External Audit  - Lancashire County Pension Fund Audit Findings Report 2014/15</w:t>
            </w:r>
          </w:p>
          <w:p w:rsidR="007178AA" w:rsidRDefault="007178AA">
            <w:pPr>
              <w:ind w:left="34"/>
              <w:rPr>
                <w:b/>
              </w:rPr>
            </w:pPr>
          </w:p>
        </w:tc>
      </w:tr>
    </w:tbl>
    <w:p w:rsidR="007178AA" w:rsidRDefault="00853796" w:rsidP="007178AA">
      <w:pPr>
        <w:rPr>
          <w:rFonts w:cs="Arial"/>
        </w:rPr>
      </w:pPr>
      <w:r>
        <w:rPr>
          <w:rFonts w:cs="Arial"/>
        </w:rPr>
        <w:t xml:space="preserve">The Committee considered a report </w:t>
      </w:r>
      <w:r w:rsidR="007178AA">
        <w:rPr>
          <w:rFonts w:cs="Arial"/>
        </w:rPr>
        <w:t>on the audit findings in relation to the accounts of the Lancashire County Pension Fund.</w:t>
      </w:r>
    </w:p>
    <w:p w:rsidR="007178AA" w:rsidRDefault="007178AA" w:rsidP="007178AA">
      <w:pPr>
        <w:rPr>
          <w:b/>
        </w:rPr>
      </w:pPr>
    </w:p>
    <w:p w:rsidR="007178AA" w:rsidRDefault="00853796" w:rsidP="007178AA">
      <w:r>
        <w:rPr>
          <w:b/>
        </w:rPr>
        <w:t>Decision Taken</w:t>
      </w:r>
    </w:p>
    <w:p w:rsidR="007178AA" w:rsidRDefault="007178AA" w:rsidP="007178AA"/>
    <w:p w:rsidR="00853796" w:rsidRPr="00853796" w:rsidRDefault="00853796" w:rsidP="007178AA">
      <w:r w:rsidRPr="00853796">
        <w:t>The Committee</w:t>
      </w:r>
      <w:r>
        <w:t xml:space="preserve"> noted:</w:t>
      </w:r>
    </w:p>
    <w:p w:rsidR="00853796" w:rsidRDefault="00853796" w:rsidP="007178AA"/>
    <w:p w:rsidR="007178AA" w:rsidRDefault="007178AA" w:rsidP="007178AA">
      <w:pPr>
        <w:ind w:left="567" w:hanging="567"/>
      </w:pPr>
      <w:r>
        <w:t>(</w:t>
      </w:r>
      <w:proofErr w:type="spellStart"/>
      <w:r>
        <w:t>i</w:t>
      </w:r>
      <w:proofErr w:type="spellEnd"/>
      <w:r>
        <w:t>)</w:t>
      </w:r>
      <w:r>
        <w:rPr>
          <w:b/>
        </w:rPr>
        <w:tab/>
      </w:r>
      <w:r>
        <w:t>The external audit findings report covering the audit of the Lancashire County Pension Fund for year ended 31 March 2015.</w:t>
      </w:r>
    </w:p>
    <w:p w:rsidR="007178AA" w:rsidRDefault="007178AA" w:rsidP="007178AA">
      <w:pPr>
        <w:ind w:left="567" w:hanging="567"/>
      </w:pPr>
    </w:p>
    <w:p w:rsidR="007178AA" w:rsidRDefault="007178AA" w:rsidP="007178AA">
      <w:pPr>
        <w:ind w:left="567" w:hanging="567"/>
      </w:pPr>
      <w:r>
        <w:t>(ii)</w:t>
      </w:r>
      <w:r>
        <w:tab/>
        <w:t>The adjustments to the financial statements and other issues raised by the external auditor</w:t>
      </w:r>
      <w:r w:rsidR="002F3387">
        <w:t>,</w:t>
      </w:r>
      <w:r>
        <w:t xml:space="preserve"> as set out in the report presented.</w:t>
      </w:r>
    </w:p>
    <w:p w:rsidR="007178AA" w:rsidRDefault="007178AA" w:rsidP="007178AA"/>
    <w:p w:rsidR="00853796" w:rsidRDefault="00853796" w:rsidP="007178AA"/>
    <w:p w:rsidR="00853796" w:rsidRDefault="00853796" w:rsidP="007178AA"/>
    <w:p w:rsidR="00853796" w:rsidRDefault="00853796" w:rsidP="007178AA"/>
    <w:p w:rsidR="00853796" w:rsidRDefault="00853796" w:rsidP="007178AA"/>
    <w:p w:rsidR="00853796" w:rsidRDefault="00853796" w:rsidP="007178AA"/>
    <w:tbl>
      <w:tblPr>
        <w:tblW w:w="9165" w:type="dxa"/>
        <w:tblLook w:val="04A0" w:firstRow="1" w:lastRow="0" w:firstColumn="1" w:lastColumn="0" w:noHBand="0" w:noVBand="1"/>
      </w:tblPr>
      <w:tblGrid>
        <w:gridCol w:w="5353"/>
        <w:gridCol w:w="1439"/>
        <w:gridCol w:w="2373"/>
      </w:tblGrid>
      <w:tr w:rsidR="007178AA" w:rsidTr="007178AA">
        <w:tc>
          <w:tcPr>
            <w:tcW w:w="5353" w:type="dxa"/>
          </w:tcPr>
          <w:p w:rsidR="007178AA" w:rsidRDefault="007178AA">
            <w:pPr>
              <w:rPr>
                <w:b/>
              </w:rPr>
            </w:pPr>
          </w:p>
        </w:tc>
        <w:tc>
          <w:tcPr>
            <w:tcW w:w="3812" w:type="dxa"/>
            <w:gridSpan w:val="2"/>
            <w:hideMark/>
          </w:tcPr>
          <w:p w:rsidR="007178AA" w:rsidRDefault="007178AA">
            <w:r>
              <w:t>I Young</w:t>
            </w:r>
          </w:p>
          <w:p w:rsidR="007178AA" w:rsidRDefault="007178AA">
            <w:r>
              <w:t>Director of Governance, Finance and Public Services</w:t>
            </w:r>
          </w:p>
        </w:tc>
      </w:tr>
      <w:tr w:rsidR="007178AA" w:rsidTr="007178AA">
        <w:tc>
          <w:tcPr>
            <w:tcW w:w="6792" w:type="dxa"/>
            <w:gridSpan w:val="2"/>
          </w:tcPr>
          <w:p w:rsidR="007178AA" w:rsidRDefault="007178AA">
            <w:pPr>
              <w:rPr>
                <w:b/>
              </w:rPr>
            </w:pPr>
          </w:p>
        </w:tc>
        <w:tc>
          <w:tcPr>
            <w:tcW w:w="2373" w:type="dxa"/>
          </w:tcPr>
          <w:p w:rsidR="007178AA" w:rsidRDefault="007178AA"/>
        </w:tc>
      </w:tr>
      <w:tr w:rsidR="007178AA" w:rsidTr="007178AA">
        <w:tc>
          <w:tcPr>
            <w:tcW w:w="6792" w:type="dxa"/>
            <w:gridSpan w:val="2"/>
            <w:hideMark/>
          </w:tcPr>
          <w:p w:rsidR="007178AA" w:rsidRDefault="007178AA">
            <w:r>
              <w:t>County Hall</w:t>
            </w:r>
          </w:p>
          <w:p w:rsidR="007178AA" w:rsidRDefault="007178AA">
            <w:r>
              <w:t>Preston</w:t>
            </w:r>
          </w:p>
        </w:tc>
        <w:tc>
          <w:tcPr>
            <w:tcW w:w="2373" w:type="dxa"/>
          </w:tcPr>
          <w:p w:rsidR="007178AA" w:rsidRDefault="007178AA"/>
        </w:tc>
      </w:tr>
    </w:tbl>
    <w:p w:rsidR="008F5C57" w:rsidRPr="008F5C57" w:rsidRDefault="008F5C57" w:rsidP="00853796"/>
    <w:sectPr w:rsidR="008F5C57" w:rsidRPr="008F5C5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215" w:rsidRDefault="008A0215" w:rsidP="008A0215">
      <w:r>
        <w:separator/>
      </w:r>
    </w:p>
  </w:endnote>
  <w:endnote w:type="continuationSeparator" w:id="0">
    <w:p w:rsidR="008A0215" w:rsidRDefault="008A0215" w:rsidP="008A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215" w:rsidRDefault="008A0215" w:rsidP="008A0215">
      <w:r>
        <w:separator/>
      </w:r>
    </w:p>
  </w:footnote>
  <w:footnote w:type="continuationSeparator" w:id="0">
    <w:p w:rsidR="008A0215" w:rsidRDefault="008A0215" w:rsidP="008A0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61" w:rsidRPr="00570CCA" w:rsidRDefault="00570CCA" w:rsidP="00570CCA">
    <w:pPr>
      <w:pStyle w:val="Header"/>
      <w:jc w:val="right"/>
      <w:rPr>
        <w:b/>
      </w:rPr>
    </w:pPr>
    <w:r w:rsidRPr="00570CCA">
      <w:rPr>
        <w:b/>
      </w:rPr>
      <w:t>Annex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1AC"/>
    <w:multiLevelType w:val="hybridMultilevel"/>
    <w:tmpl w:val="34E0C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3121"/>
    <w:multiLevelType w:val="multilevel"/>
    <w:tmpl w:val="0C905C20"/>
    <w:lvl w:ilvl="0">
      <w:start w:val="6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92919"/>
    <w:multiLevelType w:val="multilevel"/>
    <w:tmpl w:val="BA6C3CF8"/>
    <w:lvl w:ilvl="0">
      <w:start w:val="13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60"/>
    <w:multiLevelType w:val="multilevel"/>
    <w:tmpl w:val="F9FCCA30"/>
    <w:lvl w:ilvl="0">
      <w:start w:val="8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86051"/>
    <w:multiLevelType w:val="multilevel"/>
    <w:tmpl w:val="30B637E6"/>
    <w:lvl w:ilvl="0">
      <w:start w:val="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24E45"/>
    <w:multiLevelType w:val="multilevel"/>
    <w:tmpl w:val="EADC90E2"/>
    <w:lvl w:ilvl="0">
      <w:start w:val="5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809E1"/>
    <w:multiLevelType w:val="hybridMultilevel"/>
    <w:tmpl w:val="97CAA49E"/>
    <w:lvl w:ilvl="0" w:tplc="6D76D088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30428"/>
    <w:multiLevelType w:val="hybridMultilevel"/>
    <w:tmpl w:val="14205D7A"/>
    <w:lvl w:ilvl="0" w:tplc="BE0C8D24">
      <w:start w:val="1"/>
      <w:numFmt w:val="bullet"/>
      <w:pStyle w:val="Ruth-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D6B6F"/>
    <w:multiLevelType w:val="hybridMultilevel"/>
    <w:tmpl w:val="B412B2D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21D05E3F"/>
    <w:multiLevelType w:val="multilevel"/>
    <w:tmpl w:val="AF84C6C4"/>
    <w:lvl w:ilvl="0">
      <w:start w:val="14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47668"/>
    <w:multiLevelType w:val="multilevel"/>
    <w:tmpl w:val="9A0E8378"/>
    <w:lvl w:ilvl="0">
      <w:start w:val="7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C60A83"/>
    <w:multiLevelType w:val="multilevel"/>
    <w:tmpl w:val="D240685A"/>
    <w:lvl w:ilvl="0">
      <w:start w:val="9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5E6DE5"/>
    <w:multiLevelType w:val="hybridMultilevel"/>
    <w:tmpl w:val="0C289848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4A282C3C"/>
    <w:multiLevelType w:val="multilevel"/>
    <w:tmpl w:val="DD58345A"/>
    <w:lvl w:ilvl="0">
      <w:start w:val="15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4E5F6E"/>
    <w:multiLevelType w:val="hybridMultilevel"/>
    <w:tmpl w:val="A136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3427E"/>
    <w:multiLevelType w:val="multilevel"/>
    <w:tmpl w:val="4628CD24"/>
    <w:lvl w:ilvl="0">
      <w:start w:val="1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5179C"/>
    <w:multiLevelType w:val="hybridMultilevel"/>
    <w:tmpl w:val="8612F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C78EC"/>
    <w:multiLevelType w:val="hybridMultilevel"/>
    <w:tmpl w:val="10588116"/>
    <w:lvl w:ilvl="0" w:tplc="C57EE82A">
      <w:start w:val="1"/>
      <w:numFmt w:val="bullet"/>
      <w:pStyle w:val="BulletO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B37FD"/>
    <w:multiLevelType w:val="multilevel"/>
    <w:tmpl w:val="31D87ED6"/>
    <w:lvl w:ilvl="0">
      <w:start w:val="12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E36A4E"/>
    <w:multiLevelType w:val="multilevel"/>
    <w:tmpl w:val="1946123A"/>
    <w:lvl w:ilvl="0">
      <w:start w:val="10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410708"/>
    <w:multiLevelType w:val="multilevel"/>
    <w:tmpl w:val="30B637E6"/>
    <w:lvl w:ilvl="0">
      <w:start w:val="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410709"/>
    <w:multiLevelType w:val="multilevel"/>
    <w:tmpl w:val="30B637E6"/>
    <w:lvl w:ilvl="0">
      <w:start w:val="2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41070A"/>
    <w:multiLevelType w:val="multilevel"/>
    <w:tmpl w:val="30B637E6"/>
    <w:lvl w:ilvl="0">
      <w:start w:val="3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41070B"/>
    <w:multiLevelType w:val="multilevel"/>
    <w:tmpl w:val="30B637E6"/>
    <w:lvl w:ilvl="0">
      <w:start w:val="4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1070C"/>
    <w:multiLevelType w:val="hybridMultilevel"/>
    <w:tmpl w:val="EC3C6AD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1070E"/>
    <w:multiLevelType w:val="multilevel"/>
    <w:tmpl w:val="30B637E6"/>
    <w:lvl w:ilvl="0">
      <w:start w:val="5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41070F"/>
    <w:multiLevelType w:val="hybridMultilevel"/>
    <w:tmpl w:val="3BB0229A"/>
    <w:lvl w:ilvl="0" w:tplc="FFFFFFFF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75410710"/>
    <w:multiLevelType w:val="hybridMultilevel"/>
    <w:tmpl w:val="24BC90C0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eastAsia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10713"/>
    <w:multiLevelType w:val="multilevel"/>
    <w:tmpl w:val="30B637E6"/>
    <w:lvl w:ilvl="0">
      <w:start w:val="6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410714"/>
    <w:multiLevelType w:val="multilevel"/>
    <w:tmpl w:val="30B637E6"/>
    <w:lvl w:ilvl="0">
      <w:start w:val="7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410715"/>
    <w:multiLevelType w:val="hybridMultilevel"/>
    <w:tmpl w:val="B6566F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10717"/>
    <w:multiLevelType w:val="multilevel"/>
    <w:tmpl w:val="30B637E6"/>
    <w:lvl w:ilvl="0">
      <w:start w:val="8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410718"/>
    <w:multiLevelType w:val="hybridMultilevel"/>
    <w:tmpl w:val="67582A18"/>
    <w:lvl w:ilvl="0" w:tplc="FFFFFFFF">
      <w:start w:val="2"/>
      <w:numFmt w:val="lowerRoman"/>
      <w:lvlText w:val="(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1071A"/>
    <w:multiLevelType w:val="multilevel"/>
    <w:tmpl w:val="30B637E6"/>
    <w:lvl w:ilvl="0">
      <w:start w:val="9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1071B"/>
    <w:multiLevelType w:val="multilevel"/>
    <w:tmpl w:val="30B637E6"/>
    <w:lvl w:ilvl="0">
      <w:start w:val="10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41071C"/>
    <w:multiLevelType w:val="multilevel"/>
    <w:tmpl w:val="30B637E6"/>
    <w:lvl w:ilvl="0">
      <w:start w:val="1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1071D"/>
    <w:multiLevelType w:val="multilevel"/>
    <w:tmpl w:val="30B637E6"/>
    <w:lvl w:ilvl="0">
      <w:start w:val="12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57"/>
    <w:rsid w:val="000064CE"/>
    <w:rsid w:val="00015165"/>
    <w:rsid w:val="00024F37"/>
    <w:rsid w:val="0002531B"/>
    <w:rsid w:val="00025744"/>
    <w:rsid w:val="0003304F"/>
    <w:rsid w:val="00035CA9"/>
    <w:rsid w:val="000402AB"/>
    <w:rsid w:val="00056C26"/>
    <w:rsid w:val="00066157"/>
    <w:rsid w:val="000A16E7"/>
    <w:rsid w:val="000B64D3"/>
    <w:rsid w:val="000B6A6D"/>
    <w:rsid w:val="000C1D23"/>
    <w:rsid w:val="000C6E73"/>
    <w:rsid w:val="000E5735"/>
    <w:rsid w:val="00101AF9"/>
    <w:rsid w:val="00101BDD"/>
    <w:rsid w:val="00101DBF"/>
    <w:rsid w:val="001042FF"/>
    <w:rsid w:val="00110C30"/>
    <w:rsid w:val="00115375"/>
    <w:rsid w:val="00117ED7"/>
    <w:rsid w:val="00130B59"/>
    <w:rsid w:val="001330DF"/>
    <w:rsid w:val="00141C8D"/>
    <w:rsid w:val="00143944"/>
    <w:rsid w:val="00152DA7"/>
    <w:rsid w:val="0016786B"/>
    <w:rsid w:val="001872DB"/>
    <w:rsid w:val="00193C2E"/>
    <w:rsid w:val="001A0EDB"/>
    <w:rsid w:val="001B0FBE"/>
    <w:rsid w:val="001D08AA"/>
    <w:rsid w:val="001D091D"/>
    <w:rsid w:val="001E4425"/>
    <w:rsid w:val="002058EA"/>
    <w:rsid w:val="002138AC"/>
    <w:rsid w:val="00216179"/>
    <w:rsid w:val="00222F58"/>
    <w:rsid w:val="00224BB6"/>
    <w:rsid w:val="00232A4C"/>
    <w:rsid w:val="00243C1E"/>
    <w:rsid w:val="00246718"/>
    <w:rsid w:val="002500BB"/>
    <w:rsid w:val="002524C0"/>
    <w:rsid w:val="00260D55"/>
    <w:rsid w:val="00263640"/>
    <w:rsid w:val="00270D04"/>
    <w:rsid w:val="0027151A"/>
    <w:rsid w:val="0027358D"/>
    <w:rsid w:val="00287F31"/>
    <w:rsid w:val="00293134"/>
    <w:rsid w:val="002A19C0"/>
    <w:rsid w:val="002C5EC4"/>
    <w:rsid w:val="002D6788"/>
    <w:rsid w:val="002E0B76"/>
    <w:rsid w:val="002E79F2"/>
    <w:rsid w:val="002F22E4"/>
    <w:rsid w:val="002F3387"/>
    <w:rsid w:val="003021F7"/>
    <w:rsid w:val="0030329C"/>
    <w:rsid w:val="00304B14"/>
    <w:rsid w:val="00305BDC"/>
    <w:rsid w:val="00313C0A"/>
    <w:rsid w:val="00314227"/>
    <w:rsid w:val="0031685B"/>
    <w:rsid w:val="00326D1E"/>
    <w:rsid w:val="00332A06"/>
    <w:rsid w:val="00333F68"/>
    <w:rsid w:val="0033680D"/>
    <w:rsid w:val="00341A32"/>
    <w:rsid w:val="00341AB5"/>
    <w:rsid w:val="00343974"/>
    <w:rsid w:val="00350C65"/>
    <w:rsid w:val="00350F72"/>
    <w:rsid w:val="00360424"/>
    <w:rsid w:val="00365955"/>
    <w:rsid w:val="00373E83"/>
    <w:rsid w:val="0038257B"/>
    <w:rsid w:val="003865B9"/>
    <w:rsid w:val="00386C8C"/>
    <w:rsid w:val="00390FA9"/>
    <w:rsid w:val="003951A3"/>
    <w:rsid w:val="003A2B0A"/>
    <w:rsid w:val="003A7A99"/>
    <w:rsid w:val="003B36CD"/>
    <w:rsid w:val="003B515F"/>
    <w:rsid w:val="003B5416"/>
    <w:rsid w:val="003B7C8C"/>
    <w:rsid w:val="003C0C2E"/>
    <w:rsid w:val="003C39B3"/>
    <w:rsid w:val="003C7100"/>
    <w:rsid w:val="003D73FD"/>
    <w:rsid w:val="003F31E0"/>
    <w:rsid w:val="003F7831"/>
    <w:rsid w:val="0040160D"/>
    <w:rsid w:val="0041661E"/>
    <w:rsid w:val="0041709F"/>
    <w:rsid w:val="00420758"/>
    <w:rsid w:val="00421C64"/>
    <w:rsid w:val="0043378D"/>
    <w:rsid w:val="00454A8A"/>
    <w:rsid w:val="00460135"/>
    <w:rsid w:val="004701D9"/>
    <w:rsid w:val="0047792C"/>
    <w:rsid w:val="00496330"/>
    <w:rsid w:val="004B5FDB"/>
    <w:rsid w:val="004D1A3C"/>
    <w:rsid w:val="004E014A"/>
    <w:rsid w:val="004E61D3"/>
    <w:rsid w:val="004F0EA3"/>
    <w:rsid w:val="004F5107"/>
    <w:rsid w:val="004F7368"/>
    <w:rsid w:val="00512615"/>
    <w:rsid w:val="00520E68"/>
    <w:rsid w:val="00522C49"/>
    <w:rsid w:val="00524C13"/>
    <w:rsid w:val="005352F2"/>
    <w:rsid w:val="00542AED"/>
    <w:rsid w:val="00553B39"/>
    <w:rsid w:val="005543D9"/>
    <w:rsid w:val="00554666"/>
    <w:rsid w:val="00561B70"/>
    <w:rsid w:val="00562574"/>
    <w:rsid w:val="00563E68"/>
    <w:rsid w:val="00564B1C"/>
    <w:rsid w:val="00570C35"/>
    <w:rsid w:val="00570CCA"/>
    <w:rsid w:val="00571A83"/>
    <w:rsid w:val="00573236"/>
    <w:rsid w:val="00580177"/>
    <w:rsid w:val="00581DFE"/>
    <w:rsid w:val="00584EAF"/>
    <w:rsid w:val="00585275"/>
    <w:rsid w:val="005A2BD1"/>
    <w:rsid w:val="005A382C"/>
    <w:rsid w:val="005A5F13"/>
    <w:rsid w:val="005A7184"/>
    <w:rsid w:val="005A7B14"/>
    <w:rsid w:val="005B252D"/>
    <w:rsid w:val="005B398B"/>
    <w:rsid w:val="005B5CEA"/>
    <w:rsid w:val="005F3EF4"/>
    <w:rsid w:val="005F5320"/>
    <w:rsid w:val="005F72C6"/>
    <w:rsid w:val="00602383"/>
    <w:rsid w:val="00604E9A"/>
    <w:rsid w:val="00610E78"/>
    <w:rsid w:val="0062158E"/>
    <w:rsid w:val="00624AB3"/>
    <w:rsid w:val="00651865"/>
    <w:rsid w:val="006706A5"/>
    <w:rsid w:val="0067292B"/>
    <w:rsid w:val="0067500A"/>
    <w:rsid w:val="00693A3D"/>
    <w:rsid w:val="00695070"/>
    <w:rsid w:val="006A1BF7"/>
    <w:rsid w:val="006A4CE4"/>
    <w:rsid w:val="006A7E40"/>
    <w:rsid w:val="006B745D"/>
    <w:rsid w:val="006C5D2E"/>
    <w:rsid w:val="006C797C"/>
    <w:rsid w:val="006D2D40"/>
    <w:rsid w:val="006D3EA5"/>
    <w:rsid w:val="006E515C"/>
    <w:rsid w:val="006F27D4"/>
    <w:rsid w:val="007002C3"/>
    <w:rsid w:val="00710EF9"/>
    <w:rsid w:val="00716230"/>
    <w:rsid w:val="007178AA"/>
    <w:rsid w:val="00720B58"/>
    <w:rsid w:val="00721FB9"/>
    <w:rsid w:val="00746DB8"/>
    <w:rsid w:val="00750373"/>
    <w:rsid w:val="007514FE"/>
    <w:rsid w:val="00751C3C"/>
    <w:rsid w:val="0075597E"/>
    <w:rsid w:val="007665CB"/>
    <w:rsid w:val="00770990"/>
    <w:rsid w:val="00776A26"/>
    <w:rsid w:val="007866C6"/>
    <w:rsid w:val="00792A88"/>
    <w:rsid w:val="007A1FBA"/>
    <w:rsid w:val="007A23D4"/>
    <w:rsid w:val="007B0BFA"/>
    <w:rsid w:val="007B6195"/>
    <w:rsid w:val="007C79FF"/>
    <w:rsid w:val="007E3B2E"/>
    <w:rsid w:val="007E4D50"/>
    <w:rsid w:val="007E5B43"/>
    <w:rsid w:val="007E7145"/>
    <w:rsid w:val="007F6A8E"/>
    <w:rsid w:val="00800ADE"/>
    <w:rsid w:val="00801FFE"/>
    <w:rsid w:val="00811240"/>
    <w:rsid w:val="00816262"/>
    <w:rsid w:val="008273C1"/>
    <w:rsid w:val="00837E95"/>
    <w:rsid w:val="00842CC2"/>
    <w:rsid w:val="008442A1"/>
    <w:rsid w:val="00851BF9"/>
    <w:rsid w:val="00853796"/>
    <w:rsid w:val="0086280F"/>
    <w:rsid w:val="00864A2A"/>
    <w:rsid w:val="00885EF4"/>
    <w:rsid w:val="008A0215"/>
    <w:rsid w:val="008B1C85"/>
    <w:rsid w:val="008B6BB1"/>
    <w:rsid w:val="008C1511"/>
    <w:rsid w:val="008F5C57"/>
    <w:rsid w:val="009142FC"/>
    <w:rsid w:val="00915AEE"/>
    <w:rsid w:val="00924C2E"/>
    <w:rsid w:val="00936CB3"/>
    <w:rsid w:val="00943D88"/>
    <w:rsid w:val="00947234"/>
    <w:rsid w:val="00980B19"/>
    <w:rsid w:val="009940F7"/>
    <w:rsid w:val="009A4E75"/>
    <w:rsid w:val="009A66E0"/>
    <w:rsid w:val="009C0FB7"/>
    <w:rsid w:val="009D4607"/>
    <w:rsid w:val="009F299D"/>
    <w:rsid w:val="00A0383D"/>
    <w:rsid w:val="00A04B65"/>
    <w:rsid w:val="00A2590C"/>
    <w:rsid w:val="00A25F61"/>
    <w:rsid w:val="00A33A83"/>
    <w:rsid w:val="00A33FDA"/>
    <w:rsid w:val="00A34F20"/>
    <w:rsid w:val="00A3683C"/>
    <w:rsid w:val="00A46DC2"/>
    <w:rsid w:val="00A506BC"/>
    <w:rsid w:val="00A52873"/>
    <w:rsid w:val="00A70A4B"/>
    <w:rsid w:val="00A71887"/>
    <w:rsid w:val="00A91AD0"/>
    <w:rsid w:val="00A94EB7"/>
    <w:rsid w:val="00A95C73"/>
    <w:rsid w:val="00AA38AE"/>
    <w:rsid w:val="00AB5FA2"/>
    <w:rsid w:val="00AC04E8"/>
    <w:rsid w:val="00AC429F"/>
    <w:rsid w:val="00AD357B"/>
    <w:rsid w:val="00AD3D80"/>
    <w:rsid w:val="00AE743E"/>
    <w:rsid w:val="00AE7CD8"/>
    <w:rsid w:val="00B0146B"/>
    <w:rsid w:val="00B0201F"/>
    <w:rsid w:val="00B322BD"/>
    <w:rsid w:val="00B3283F"/>
    <w:rsid w:val="00B34E46"/>
    <w:rsid w:val="00B435B3"/>
    <w:rsid w:val="00B536D6"/>
    <w:rsid w:val="00B56A6A"/>
    <w:rsid w:val="00B621C8"/>
    <w:rsid w:val="00B74D2F"/>
    <w:rsid w:val="00B76F1A"/>
    <w:rsid w:val="00B77072"/>
    <w:rsid w:val="00B8537C"/>
    <w:rsid w:val="00B87228"/>
    <w:rsid w:val="00B9183C"/>
    <w:rsid w:val="00BA429A"/>
    <w:rsid w:val="00BA5C9F"/>
    <w:rsid w:val="00BA629E"/>
    <w:rsid w:val="00BC1690"/>
    <w:rsid w:val="00BC44DB"/>
    <w:rsid w:val="00BC5FE6"/>
    <w:rsid w:val="00BC60FA"/>
    <w:rsid w:val="00BD33E7"/>
    <w:rsid w:val="00BD594D"/>
    <w:rsid w:val="00BD6867"/>
    <w:rsid w:val="00BE029F"/>
    <w:rsid w:val="00BE1155"/>
    <w:rsid w:val="00BE4623"/>
    <w:rsid w:val="00BE4F31"/>
    <w:rsid w:val="00C00F82"/>
    <w:rsid w:val="00C02E97"/>
    <w:rsid w:val="00C04E28"/>
    <w:rsid w:val="00C11F45"/>
    <w:rsid w:val="00C120D9"/>
    <w:rsid w:val="00C1386B"/>
    <w:rsid w:val="00C15105"/>
    <w:rsid w:val="00C15823"/>
    <w:rsid w:val="00C169E2"/>
    <w:rsid w:val="00C205AF"/>
    <w:rsid w:val="00C247AE"/>
    <w:rsid w:val="00C41764"/>
    <w:rsid w:val="00C425EB"/>
    <w:rsid w:val="00C4584C"/>
    <w:rsid w:val="00C54E6D"/>
    <w:rsid w:val="00C6477D"/>
    <w:rsid w:val="00C66187"/>
    <w:rsid w:val="00C72B57"/>
    <w:rsid w:val="00C811EB"/>
    <w:rsid w:val="00CC26B2"/>
    <w:rsid w:val="00CD001F"/>
    <w:rsid w:val="00CD1A16"/>
    <w:rsid w:val="00CF30E2"/>
    <w:rsid w:val="00CF52EE"/>
    <w:rsid w:val="00CF5EDD"/>
    <w:rsid w:val="00CF7A08"/>
    <w:rsid w:val="00D15482"/>
    <w:rsid w:val="00D2702C"/>
    <w:rsid w:val="00D3470B"/>
    <w:rsid w:val="00D632B1"/>
    <w:rsid w:val="00D63624"/>
    <w:rsid w:val="00D644C0"/>
    <w:rsid w:val="00D7351A"/>
    <w:rsid w:val="00D7475B"/>
    <w:rsid w:val="00D75B9C"/>
    <w:rsid w:val="00D95444"/>
    <w:rsid w:val="00DA6C83"/>
    <w:rsid w:val="00DC1AC2"/>
    <w:rsid w:val="00DE5563"/>
    <w:rsid w:val="00DF2095"/>
    <w:rsid w:val="00E00CA6"/>
    <w:rsid w:val="00E0137B"/>
    <w:rsid w:val="00E0289E"/>
    <w:rsid w:val="00E133D4"/>
    <w:rsid w:val="00E163CE"/>
    <w:rsid w:val="00E22003"/>
    <w:rsid w:val="00E30108"/>
    <w:rsid w:val="00E352CD"/>
    <w:rsid w:val="00E37A57"/>
    <w:rsid w:val="00E4667E"/>
    <w:rsid w:val="00E46B1D"/>
    <w:rsid w:val="00E502EF"/>
    <w:rsid w:val="00E540A6"/>
    <w:rsid w:val="00E552E1"/>
    <w:rsid w:val="00E67D5D"/>
    <w:rsid w:val="00E7494E"/>
    <w:rsid w:val="00E7498F"/>
    <w:rsid w:val="00E749CF"/>
    <w:rsid w:val="00E80610"/>
    <w:rsid w:val="00E87B52"/>
    <w:rsid w:val="00E91371"/>
    <w:rsid w:val="00EA7964"/>
    <w:rsid w:val="00EB04F9"/>
    <w:rsid w:val="00EC25C5"/>
    <w:rsid w:val="00EC2FFF"/>
    <w:rsid w:val="00EC3DB9"/>
    <w:rsid w:val="00ED7054"/>
    <w:rsid w:val="00EF07A6"/>
    <w:rsid w:val="00F014AF"/>
    <w:rsid w:val="00F014DD"/>
    <w:rsid w:val="00F06C99"/>
    <w:rsid w:val="00F20DD8"/>
    <w:rsid w:val="00F26D9C"/>
    <w:rsid w:val="00F2790C"/>
    <w:rsid w:val="00F32D0D"/>
    <w:rsid w:val="00F32EE1"/>
    <w:rsid w:val="00F3336D"/>
    <w:rsid w:val="00F41523"/>
    <w:rsid w:val="00F41954"/>
    <w:rsid w:val="00F4411E"/>
    <w:rsid w:val="00F64AF6"/>
    <w:rsid w:val="00F66484"/>
    <w:rsid w:val="00F6649B"/>
    <w:rsid w:val="00F670C2"/>
    <w:rsid w:val="00F91D2D"/>
    <w:rsid w:val="00FC182B"/>
    <w:rsid w:val="00FC1B31"/>
    <w:rsid w:val="00FD654C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B944D-9D55-4ABA-92F7-C1BC3923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57"/>
    <w:rPr>
      <w:rFonts w:ascii="Arial" w:hAnsi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2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215"/>
    <w:rPr>
      <w:rFonts w:ascii="Arial" w:hAnsi="Arial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02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215"/>
    <w:rPr>
      <w:rFonts w:ascii="Arial" w:hAnsi="Arial"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7494E"/>
    <w:pPr>
      <w:ind w:left="720"/>
      <w:contextualSpacing/>
      <w:jc w:val="both"/>
    </w:pPr>
    <w:rPr>
      <w:bCs w:val="0"/>
      <w:lang w:eastAsia="en-GB"/>
    </w:rPr>
  </w:style>
  <w:style w:type="paragraph" w:customStyle="1" w:styleId="Default">
    <w:name w:val="Default"/>
    <w:rsid w:val="00E749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th-bulletChar">
    <w:name w:val="Ruth - bullet Char"/>
    <w:link w:val="Ruth-bullet"/>
    <w:locked/>
    <w:rsid w:val="00E7494E"/>
    <w:rPr>
      <w:rFonts w:ascii="Arial" w:hAnsi="Arial" w:cs="Arial"/>
      <w:sz w:val="24"/>
      <w:szCs w:val="24"/>
    </w:rPr>
  </w:style>
  <w:style w:type="paragraph" w:customStyle="1" w:styleId="Ruth-bullet">
    <w:name w:val="Ruth - bullet"/>
    <w:basedOn w:val="ListParagraph"/>
    <w:link w:val="Ruth-bulletChar"/>
    <w:qFormat/>
    <w:rsid w:val="00E7494E"/>
    <w:pPr>
      <w:numPr>
        <w:numId w:val="1"/>
      </w:numPr>
      <w:spacing w:before="120" w:after="120"/>
      <w:contextualSpacing w:val="0"/>
      <w:jc w:val="left"/>
    </w:pPr>
    <w:rPr>
      <w:rFonts w:cs="Arial"/>
    </w:rPr>
  </w:style>
  <w:style w:type="paragraph" w:customStyle="1" w:styleId="BulletOne">
    <w:name w:val="BulletOne"/>
    <w:basedOn w:val="Normal"/>
    <w:rsid w:val="00E7494E"/>
    <w:pPr>
      <w:numPr>
        <w:numId w:val="2"/>
      </w:numPr>
    </w:pPr>
    <w:rPr>
      <w:rFonts w:ascii="Garamond" w:hAnsi="Garamond"/>
      <w:bCs w:val="0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AA"/>
    <w:rPr>
      <w:rFonts w:ascii="Arial" w:hAnsi="Arial"/>
      <w:bCs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7178AA"/>
    <w:pPr>
      <w:tabs>
        <w:tab w:val="left" w:pos="851"/>
        <w:tab w:val="left" w:pos="1418"/>
        <w:tab w:val="left" w:pos="1985"/>
        <w:tab w:val="left" w:pos="2552"/>
        <w:tab w:val="left" w:pos="3119"/>
      </w:tabs>
      <w:ind w:left="851" w:hanging="851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178AA"/>
    <w:rPr>
      <w:rFonts w:ascii="Arial" w:hAnsi="Arial"/>
      <w:bCs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7178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A21EE-82B2-42E3-8290-1FED52EA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620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Mather, Chris</dc:creator>
  <cp:keywords/>
  <dc:description/>
  <cp:lastModifiedBy>Mulligan, Janet</cp:lastModifiedBy>
  <cp:revision>6</cp:revision>
  <dcterms:created xsi:type="dcterms:W3CDTF">2015-10-12T09:59:00Z</dcterms:created>
  <dcterms:modified xsi:type="dcterms:W3CDTF">2015-10-13T16:16:00Z</dcterms:modified>
</cp:coreProperties>
</file>